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975A9" w14:textId="77777777" w:rsidR="003C7D39" w:rsidRDefault="000121D7" w:rsidP="000121D7">
      <w:pPr>
        <w:jc w:val="center"/>
        <w:rPr>
          <w:rFonts w:ascii="Times New Roman" w:hAnsi="Times New Roman" w:cs="Times New Roman"/>
          <w:sz w:val="36"/>
        </w:rPr>
      </w:pPr>
      <w:r>
        <w:rPr>
          <w:rFonts w:ascii="Times New Roman" w:hAnsi="Times New Roman" w:cs="Times New Roman"/>
          <w:b/>
          <w:sz w:val="36"/>
        </w:rPr>
        <w:t>Class 14</w:t>
      </w:r>
    </w:p>
    <w:p w14:paraId="14538699" w14:textId="2B0B753A" w:rsidR="000121D7" w:rsidRDefault="000121D7" w:rsidP="000121D7">
      <w:pPr>
        <w:rPr>
          <w:rFonts w:ascii="Times New Roman" w:hAnsi="Times New Roman" w:cs="Times New Roman"/>
          <w:sz w:val="24"/>
        </w:rPr>
      </w:pPr>
      <w:r>
        <w:rPr>
          <w:rFonts w:ascii="Times New Roman" w:hAnsi="Times New Roman" w:cs="Times New Roman"/>
          <w:b/>
          <w:sz w:val="24"/>
        </w:rPr>
        <w:t>The Creed</w:t>
      </w:r>
      <w:r>
        <w:rPr>
          <w:rFonts w:ascii="Times New Roman" w:hAnsi="Times New Roman" w:cs="Times New Roman"/>
          <w:sz w:val="24"/>
        </w:rPr>
        <w:t xml:space="preserve">.  The purpose of the Creed is that the whole gathered people may </w:t>
      </w:r>
      <w:r w:rsidRPr="000121D7">
        <w:rPr>
          <w:rFonts w:ascii="Times New Roman" w:hAnsi="Times New Roman" w:cs="Times New Roman"/>
          <w:sz w:val="24"/>
          <w:u w:val="single"/>
        </w:rPr>
        <w:t>respond</w:t>
      </w:r>
      <w:r>
        <w:rPr>
          <w:rFonts w:ascii="Times New Roman" w:hAnsi="Times New Roman" w:cs="Times New Roman"/>
          <w:sz w:val="24"/>
        </w:rPr>
        <w:t xml:space="preserve"> to the Word of God proclaimed in the readings taken from Sacred Scripture and explained in the Homily and that they may also honor and confess the great mysteries of the faith before the celebration of these mysteries in the Eucharist begins.</w:t>
      </w:r>
      <w:r>
        <w:rPr>
          <w:rStyle w:val="FootnoteReference"/>
          <w:rFonts w:ascii="Times New Roman" w:hAnsi="Times New Roman" w:cs="Times New Roman"/>
          <w:sz w:val="24"/>
        </w:rPr>
        <w:footnoteReference w:id="1"/>
      </w:r>
      <w:r>
        <w:rPr>
          <w:rFonts w:ascii="Times New Roman" w:hAnsi="Times New Roman" w:cs="Times New Roman"/>
          <w:sz w:val="24"/>
        </w:rPr>
        <w:t xml:space="preserve">  The word </w:t>
      </w:r>
      <w:r>
        <w:rPr>
          <w:rFonts w:ascii="Times New Roman" w:hAnsi="Times New Roman" w:cs="Times New Roman"/>
          <w:i/>
          <w:sz w:val="24"/>
        </w:rPr>
        <w:t>creed</w:t>
      </w:r>
      <w:r>
        <w:rPr>
          <w:rFonts w:ascii="Times New Roman" w:hAnsi="Times New Roman" w:cs="Times New Roman"/>
          <w:sz w:val="24"/>
        </w:rPr>
        <w:t xml:space="preserve"> comes from the Latin </w:t>
      </w:r>
      <w:r>
        <w:rPr>
          <w:rFonts w:ascii="Times New Roman" w:hAnsi="Times New Roman" w:cs="Times New Roman"/>
          <w:i/>
          <w:sz w:val="24"/>
        </w:rPr>
        <w:t>credo</w:t>
      </w:r>
      <w:r>
        <w:rPr>
          <w:rFonts w:ascii="Times New Roman" w:hAnsi="Times New Roman" w:cs="Times New Roman"/>
          <w:sz w:val="24"/>
        </w:rPr>
        <w:t xml:space="preserve"> which means “I give my heart.”  Having received the Word from the Father in the readings, and the explanation in the homily, the Church gives her heart back to God, which is the most genuine response possible.  The Creed is called the symbol of faith because its words authentically express the faith it symbolizes.  In this response, we take the Church at her Word.  The Church says what she believes and means what she says.</w:t>
      </w:r>
      <w:r w:rsidR="00A81F85">
        <w:rPr>
          <w:rStyle w:val="FootnoteReference"/>
          <w:rFonts w:ascii="Times New Roman" w:hAnsi="Times New Roman" w:cs="Times New Roman"/>
          <w:sz w:val="24"/>
        </w:rPr>
        <w:footnoteReference w:id="2"/>
      </w:r>
    </w:p>
    <w:p w14:paraId="29C3FB1A" w14:textId="2F1B52D2" w:rsidR="000121D7" w:rsidRDefault="000121D7" w:rsidP="000121D7">
      <w:pPr>
        <w:rPr>
          <w:rFonts w:ascii="Times New Roman" w:hAnsi="Times New Roman" w:cs="Times New Roman"/>
          <w:sz w:val="24"/>
        </w:rPr>
      </w:pPr>
      <w:r>
        <w:rPr>
          <w:rFonts w:ascii="Times New Roman" w:hAnsi="Times New Roman" w:cs="Times New Roman"/>
          <w:sz w:val="24"/>
        </w:rPr>
        <w:t xml:space="preserve">Originally, the Creed was a baptismal formula.  This accounts for the singular person “I believe” throughout the profession.  Today, we continue to use the singular person both in the unity of one church, and individually.  The Creed has been developed throughout the centuries.  In the Council of Nicaea in 325, Christ was declared consubstantial with the Father, or “one in being.”  In the Council of Constantinople, the Church declared that Christ came down from heaven, and </w:t>
      </w:r>
      <w:r>
        <w:rPr>
          <w:rFonts w:ascii="Times New Roman" w:hAnsi="Times New Roman" w:cs="Times New Roman"/>
          <w:i/>
          <w:sz w:val="24"/>
        </w:rPr>
        <w:t>by the Holy Spirit</w:t>
      </w:r>
      <w:r>
        <w:rPr>
          <w:rFonts w:ascii="Times New Roman" w:hAnsi="Times New Roman" w:cs="Times New Roman"/>
          <w:sz w:val="24"/>
        </w:rPr>
        <w:t xml:space="preserve">, was incarnate of the Virgin Mary…  </w:t>
      </w:r>
      <w:proofErr w:type="gramStart"/>
      <w:r>
        <w:rPr>
          <w:rFonts w:ascii="Times New Roman" w:hAnsi="Times New Roman" w:cs="Times New Roman"/>
          <w:sz w:val="24"/>
        </w:rPr>
        <w:t>Also</w:t>
      </w:r>
      <w:proofErr w:type="gramEnd"/>
      <w:r>
        <w:rPr>
          <w:rFonts w:ascii="Times New Roman" w:hAnsi="Times New Roman" w:cs="Times New Roman"/>
          <w:sz w:val="24"/>
        </w:rPr>
        <w:t xml:space="preserve"> in the Council of Constantinople, the Church professes that</w:t>
      </w:r>
      <w:r w:rsidR="00A81F85">
        <w:rPr>
          <w:rFonts w:ascii="Times New Roman" w:hAnsi="Times New Roman" w:cs="Times New Roman"/>
          <w:sz w:val="24"/>
        </w:rPr>
        <w:t xml:space="preserve"> the Holy Spirit proceeds from the Father </w:t>
      </w:r>
      <w:r w:rsidR="00A81F85">
        <w:rPr>
          <w:rFonts w:ascii="Times New Roman" w:hAnsi="Times New Roman" w:cs="Times New Roman"/>
          <w:i/>
          <w:sz w:val="24"/>
        </w:rPr>
        <w:t>and</w:t>
      </w:r>
      <w:r w:rsidR="00A81F85">
        <w:rPr>
          <w:rFonts w:ascii="Times New Roman" w:hAnsi="Times New Roman" w:cs="Times New Roman"/>
          <w:sz w:val="24"/>
        </w:rPr>
        <w:t xml:space="preserve"> the Son.  This point of belief is a major source of division between the Catholic and the Orthodox Churches.</w:t>
      </w:r>
      <w:r w:rsidR="00A81F85">
        <w:rPr>
          <w:rStyle w:val="FootnoteReference"/>
          <w:rFonts w:ascii="Times New Roman" w:hAnsi="Times New Roman" w:cs="Times New Roman"/>
          <w:sz w:val="24"/>
        </w:rPr>
        <w:footnoteReference w:id="3"/>
      </w:r>
    </w:p>
    <w:p w14:paraId="69F514F5" w14:textId="604E7B8D" w:rsidR="00A81F85" w:rsidRDefault="00A81F85" w:rsidP="000121D7">
      <w:pPr>
        <w:rPr>
          <w:rFonts w:ascii="Times New Roman" w:hAnsi="Times New Roman" w:cs="Times New Roman"/>
          <w:sz w:val="24"/>
        </w:rPr>
      </w:pPr>
      <w:r>
        <w:rPr>
          <w:rFonts w:ascii="Times New Roman" w:hAnsi="Times New Roman" w:cs="Times New Roman"/>
          <w:sz w:val="24"/>
        </w:rPr>
        <w:t>The Creed only became part of the Mass between the sixth and tenth centuries.  When Emperor Henry II came to Rome for his coronation in 1014, he was disturbed to find that the Creed was not used at the coronation Mass, and he imposed upon the Pope to henceforth include it.  When he asked why it had not been said during Mass, the response was that The Roman Church had never been disturbed by error and therefore had no reason to profess the Creed so often.</w:t>
      </w:r>
      <w:r w:rsidR="008C27B5">
        <w:rPr>
          <w:rStyle w:val="FootnoteReference"/>
          <w:rFonts w:ascii="Times New Roman" w:hAnsi="Times New Roman" w:cs="Times New Roman"/>
          <w:sz w:val="24"/>
        </w:rPr>
        <w:footnoteReference w:id="4"/>
      </w:r>
    </w:p>
    <w:p w14:paraId="4A480C4E" w14:textId="766B03BC" w:rsidR="00D83FE6" w:rsidRPr="00A81F85" w:rsidRDefault="00D83FE6" w:rsidP="000121D7">
      <w:pPr>
        <w:rPr>
          <w:rFonts w:ascii="Times New Roman" w:hAnsi="Times New Roman" w:cs="Times New Roman"/>
          <w:sz w:val="24"/>
        </w:rPr>
      </w:pPr>
      <w:r>
        <w:rPr>
          <w:rFonts w:ascii="Times New Roman" w:hAnsi="Times New Roman" w:cs="Times New Roman"/>
          <w:sz w:val="24"/>
        </w:rPr>
        <w:t>The center of the Creed is the profession of the Incarnation.  The Church instructs all the faith</w:t>
      </w:r>
      <w:r w:rsidR="008C27B5">
        <w:rPr>
          <w:rFonts w:ascii="Times New Roman" w:hAnsi="Times New Roman" w:cs="Times New Roman"/>
          <w:sz w:val="24"/>
        </w:rPr>
        <w:t>ful</w:t>
      </w:r>
      <w:r>
        <w:rPr>
          <w:rFonts w:ascii="Times New Roman" w:hAnsi="Times New Roman" w:cs="Times New Roman"/>
          <w:sz w:val="24"/>
        </w:rPr>
        <w:t xml:space="preserve"> to bow, or on the solemnity of the Annunciation and on the solemnity of Christmas, to kneel.</w:t>
      </w:r>
      <w:r w:rsidR="008C27B5">
        <w:rPr>
          <w:rFonts w:ascii="Times New Roman" w:hAnsi="Times New Roman" w:cs="Times New Roman"/>
          <w:sz w:val="24"/>
        </w:rPr>
        <w:t xml:space="preserve">  Imitating the condescension of the Second Person of the Blessed Trinity, they touch their bodies to the ground.  “He emptied himself, taking the form of a slave, coming in human likeness.” (Philippians 2:7</w:t>
      </w:r>
      <w:proofErr w:type="gramStart"/>
      <w:r w:rsidR="008C27B5">
        <w:rPr>
          <w:rFonts w:ascii="Times New Roman" w:hAnsi="Times New Roman" w:cs="Times New Roman"/>
          <w:sz w:val="24"/>
        </w:rPr>
        <w:t>)  We</w:t>
      </w:r>
      <w:proofErr w:type="gramEnd"/>
      <w:r w:rsidR="008C27B5">
        <w:rPr>
          <w:rFonts w:ascii="Times New Roman" w:hAnsi="Times New Roman" w:cs="Times New Roman"/>
          <w:sz w:val="24"/>
        </w:rPr>
        <w:t xml:space="preserve"> say “was incarnate” rather than “was born” because that more clearly communicates what happened!  He took on a human nature!  Jesus Christ is one Divine Person, with two natures, human and divine.  As we say the words of the Creed, we should see that the words we say are harmonized with the Word, attuned to the Word, and resound with the Word.  As we learn the Church’s language, we learn Christ himself.</w:t>
      </w:r>
      <w:r w:rsidR="008C27B5">
        <w:rPr>
          <w:rStyle w:val="FootnoteReference"/>
          <w:rFonts w:ascii="Times New Roman" w:hAnsi="Times New Roman" w:cs="Times New Roman"/>
          <w:sz w:val="24"/>
        </w:rPr>
        <w:footnoteReference w:id="5"/>
      </w:r>
    </w:p>
    <w:sectPr w:rsidR="00D83FE6" w:rsidRPr="00A81F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CB3D2" w14:textId="77777777" w:rsidR="00560F63" w:rsidRDefault="00560F63" w:rsidP="000121D7">
      <w:pPr>
        <w:spacing w:after="0" w:line="240" w:lineRule="auto"/>
      </w:pPr>
      <w:r>
        <w:separator/>
      </w:r>
    </w:p>
  </w:endnote>
  <w:endnote w:type="continuationSeparator" w:id="0">
    <w:p w14:paraId="2D352D4C" w14:textId="77777777" w:rsidR="00560F63" w:rsidRDefault="00560F63" w:rsidP="0001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2D7DC" w14:textId="77777777" w:rsidR="00560F63" w:rsidRDefault="00560F63" w:rsidP="000121D7">
      <w:pPr>
        <w:spacing w:after="0" w:line="240" w:lineRule="auto"/>
      </w:pPr>
      <w:r>
        <w:separator/>
      </w:r>
    </w:p>
  </w:footnote>
  <w:footnote w:type="continuationSeparator" w:id="0">
    <w:p w14:paraId="14563FFF" w14:textId="77777777" w:rsidR="00560F63" w:rsidRDefault="00560F63" w:rsidP="000121D7">
      <w:pPr>
        <w:spacing w:after="0" w:line="240" w:lineRule="auto"/>
      </w:pPr>
      <w:r>
        <w:continuationSeparator/>
      </w:r>
    </w:p>
  </w:footnote>
  <w:footnote w:id="1">
    <w:p w14:paraId="5EF555D6" w14:textId="5BBA9352" w:rsidR="000121D7" w:rsidRDefault="000121D7">
      <w:pPr>
        <w:pStyle w:val="FootnoteText"/>
      </w:pPr>
      <w:r>
        <w:rPr>
          <w:rStyle w:val="FootnoteReference"/>
        </w:rPr>
        <w:footnoteRef/>
      </w:r>
      <w:r>
        <w:t xml:space="preserve"> General Instruction of the Roman Missal, 67.</w:t>
      </w:r>
    </w:p>
  </w:footnote>
  <w:footnote w:id="2">
    <w:p w14:paraId="719CFE45" w14:textId="542D3CD6" w:rsidR="00A81F85" w:rsidRDefault="00A81F85">
      <w:pPr>
        <w:pStyle w:val="FootnoteText"/>
      </w:pPr>
      <w:r>
        <w:rPr>
          <w:rStyle w:val="FootnoteReference"/>
        </w:rPr>
        <w:footnoteRef/>
      </w:r>
      <w:r>
        <w:t xml:space="preserve"> Encountering Christ in the Words of the Mass, Christopher Carstens and Douglas </w:t>
      </w:r>
      <w:proofErr w:type="spellStart"/>
      <w:r>
        <w:t>Martis</w:t>
      </w:r>
      <w:proofErr w:type="spellEnd"/>
      <w:r>
        <w:t>, 152.</w:t>
      </w:r>
    </w:p>
  </w:footnote>
  <w:footnote w:id="3">
    <w:p w14:paraId="46451589" w14:textId="3B95030F" w:rsidR="00A81F85" w:rsidRDefault="00A81F85">
      <w:pPr>
        <w:pStyle w:val="FootnoteText"/>
      </w:pPr>
      <w:r>
        <w:rPr>
          <w:rStyle w:val="FootnoteReference"/>
        </w:rPr>
        <w:footnoteRef/>
      </w:r>
      <w:r>
        <w:t xml:space="preserve"> Ibid, 153.</w:t>
      </w:r>
    </w:p>
  </w:footnote>
  <w:footnote w:id="4">
    <w:p w14:paraId="3DE6C975" w14:textId="7934B75B" w:rsidR="008C27B5" w:rsidRDefault="008C27B5">
      <w:pPr>
        <w:pStyle w:val="FootnoteText"/>
      </w:pPr>
      <w:r>
        <w:rPr>
          <w:rStyle w:val="FootnoteReference"/>
        </w:rPr>
        <w:footnoteRef/>
      </w:r>
      <w:r>
        <w:t xml:space="preserve"> Ibid, 153.</w:t>
      </w:r>
    </w:p>
  </w:footnote>
  <w:footnote w:id="5">
    <w:p w14:paraId="027B2FDF" w14:textId="68B2DF1A" w:rsidR="008C27B5" w:rsidRDefault="008C27B5">
      <w:pPr>
        <w:pStyle w:val="FootnoteText"/>
      </w:pPr>
      <w:r>
        <w:rPr>
          <w:rStyle w:val="FootnoteReference"/>
        </w:rPr>
        <w:footnoteRef/>
      </w:r>
      <w:r>
        <w:t xml:space="preserve"> Ibid, </w:t>
      </w:r>
      <w:r>
        <w:t>154-155.</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D7"/>
    <w:rsid w:val="000121D7"/>
    <w:rsid w:val="003C7D39"/>
    <w:rsid w:val="00560F63"/>
    <w:rsid w:val="008C27B5"/>
    <w:rsid w:val="00A81F85"/>
    <w:rsid w:val="00D83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4595"/>
  <w15:chartTrackingRefBased/>
  <w15:docId w15:val="{EDA93E31-264A-4F85-88F1-2955ABFF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2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1D7"/>
    <w:rPr>
      <w:sz w:val="20"/>
      <w:szCs w:val="20"/>
    </w:rPr>
  </w:style>
  <w:style w:type="character" w:styleId="FootnoteReference">
    <w:name w:val="footnote reference"/>
    <w:basedOn w:val="DefaultParagraphFont"/>
    <w:uiPriority w:val="99"/>
    <w:semiHidden/>
    <w:unhideWhenUsed/>
    <w:rsid w:val="000121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0CFCC-23E8-408D-A837-0837554F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1</cp:revision>
  <dcterms:created xsi:type="dcterms:W3CDTF">2018-05-08T02:27:00Z</dcterms:created>
  <dcterms:modified xsi:type="dcterms:W3CDTF">2018-05-08T03:08:00Z</dcterms:modified>
</cp:coreProperties>
</file>