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C5EFA" w14:textId="77777777" w:rsidR="00CD101D" w:rsidRDefault="003546F9" w:rsidP="003546F9">
      <w:pPr>
        <w:jc w:val="center"/>
        <w:rPr>
          <w:rFonts w:ascii="Times New Roman" w:hAnsi="Times New Roman" w:cs="Times New Roman"/>
          <w:sz w:val="36"/>
        </w:rPr>
      </w:pPr>
      <w:r>
        <w:rPr>
          <w:rFonts w:ascii="Times New Roman" w:hAnsi="Times New Roman" w:cs="Times New Roman"/>
          <w:b/>
          <w:sz w:val="36"/>
          <w:u w:val="single"/>
        </w:rPr>
        <w:t>Class 19</w:t>
      </w:r>
    </w:p>
    <w:p w14:paraId="51446BA5" w14:textId="3C959992" w:rsidR="003546F9" w:rsidRDefault="003546F9" w:rsidP="003546F9">
      <w:pPr>
        <w:rPr>
          <w:rFonts w:ascii="Times New Roman" w:hAnsi="Times New Roman" w:cs="Times New Roman"/>
          <w:sz w:val="24"/>
        </w:rPr>
      </w:pPr>
      <w:r>
        <w:rPr>
          <w:rFonts w:ascii="Times New Roman" w:hAnsi="Times New Roman" w:cs="Times New Roman"/>
          <w:sz w:val="24"/>
        </w:rPr>
        <w:t xml:space="preserve">The Preface.  The Eucharistic Prayer is made up of eight principle elements.  The first element is </w:t>
      </w:r>
      <w:r>
        <w:rPr>
          <w:rFonts w:ascii="Times New Roman" w:hAnsi="Times New Roman" w:cs="Times New Roman"/>
          <w:i/>
          <w:sz w:val="24"/>
        </w:rPr>
        <w:t>thanksgiving</w:t>
      </w:r>
      <w:r>
        <w:rPr>
          <w:rFonts w:ascii="Times New Roman" w:hAnsi="Times New Roman" w:cs="Times New Roman"/>
          <w:sz w:val="24"/>
        </w:rPr>
        <w:t xml:space="preserve">, expressed especially in the preface.  In the preface the priest, in the name of the whole of the holy people, glorifies God the Father and gives thanks to him for the whole work of salvation or for some </w:t>
      </w:r>
      <w:proofErr w:type="gramStart"/>
      <w:r>
        <w:rPr>
          <w:rFonts w:ascii="Times New Roman" w:hAnsi="Times New Roman" w:cs="Times New Roman"/>
          <w:sz w:val="24"/>
        </w:rPr>
        <w:t>particular aspect</w:t>
      </w:r>
      <w:proofErr w:type="gramEnd"/>
      <w:r>
        <w:rPr>
          <w:rFonts w:ascii="Times New Roman" w:hAnsi="Times New Roman" w:cs="Times New Roman"/>
          <w:sz w:val="24"/>
        </w:rPr>
        <w:t xml:space="preserve"> of it according to the day, festival, or time of year.  Each Eucharistic Prayer begins with the Preface, which has three parts: 1) the dialogue, 2) the thanksgiving, and 3) the </w:t>
      </w:r>
      <w:proofErr w:type="spellStart"/>
      <w:r w:rsidR="000C77CA">
        <w:rPr>
          <w:rFonts w:ascii="Times New Roman" w:hAnsi="Times New Roman" w:cs="Times New Roman"/>
          <w:sz w:val="24"/>
        </w:rPr>
        <w:t>S</w:t>
      </w:r>
      <w:r>
        <w:rPr>
          <w:rFonts w:ascii="Times New Roman" w:hAnsi="Times New Roman" w:cs="Times New Roman"/>
          <w:sz w:val="24"/>
        </w:rPr>
        <w:t>antus</w:t>
      </w:r>
      <w:proofErr w:type="spellEnd"/>
      <w:r>
        <w:rPr>
          <w:rFonts w:ascii="Times New Roman" w:hAnsi="Times New Roman" w:cs="Times New Roman"/>
          <w:sz w:val="24"/>
        </w:rPr>
        <w:t>.</w:t>
      </w:r>
      <w:r w:rsidR="00200C47">
        <w:rPr>
          <w:rStyle w:val="FootnoteReference"/>
          <w:rFonts w:ascii="Times New Roman" w:hAnsi="Times New Roman" w:cs="Times New Roman"/>
          <w:sz w:val="24"/>
        </w:rPr>
        <w:footnoteReference w:id="1"/>
      </w:r>
      <w:r>
        <w:rPr>
          <w:rFonts w:ascii="Times New Roman" w:hAnsi="Times New Roman" w:cs="Times New Roman"/>
          <w:sz w:val="24"/>
        </w:rPr>
        <w:t xml:space="preserve">  </w:t>
      </w:r>
    </w:p>
    <w:p w14:paraId="5795053C" w14:textId="40035204" w:rsidR="003546F9" w:rsidRDefault="003546F9" w:rsidP="003546F9">
      <w:pPr>
        <w:rPr>
          <w:rFonts w:ascii="Times New Roman" w:hAnsi="Times New Roman" w:cs="Times New Roman"/>
          <w:sz w:val="24"/>
        </w:rPr>
      </w:pPr>
      <w:r>
        <w:rPr>
          <w:rFonts w:ascii="Times New Roman" w:hAnsi="Times New Roman" w:cs="Times New Roman"/>
          <w:sz w:val="24"/>
        </w:rPr>
        <w:t xml:space="preserve">The Greeting and Dialogue at the beginning of the Preface is </w:t>
      </w:r>
      <w:proofErr w:type="gramStart"/>
      <w:r>
        <w:rPr>
          <w:rFonts w:ascii="Times New Roman" w:hAnsi="Times New Roman" w:cs="Times New Roman"/>
          <w:sz w:val="24"/>
        </w:rPr>
        <w:t>similar to</w:t>
      </w:r>
      <w:proofErr w:type="gramEnd"/>
      <w:r>
        <w:rPr>
          <w:rFonts w:ascii="Times New Roman" w:hAnsi="Times New Roman" w:cs="Times New Roman"/>
          <w:sz w:val="24"/>
        </w:rPr>
        <w:t xml:space="preserve"> the one that began the Mass.  It is meant to animate the unite the priest and people, thus symbolizing the unity of the Church.  The words of the Preface Dialogue also encourage those present to engage in the Paschal Sacrifice which is about to happen.  When the Priest says, “The Lord be with You,” and the people respond, “And with your spirit,” it signifies Christ’s presence among us, his people, gathered in his name.  The mention of the priest’s spirit signifies his ordination and how he is acting in the person of Christ the priest.  The dialogue between the priest and the people shows how the Church is alive, speaking to Christ, listening to Christ, and responding to Christ.</w:t>
      </w:r>
      <w:r w:rsidR="00200C47">
        <w:rPr>
          <w:rStyle w:val="FootnoteReference"/>
          <w:rFonts w:ascii="Times New Roman" w:hAnsi="Times New Roman" w:cs="Times New Roman"/>
          <w:sz w:val="24"/>
        </w:rPr>
        <w:footnoteReference w:id="2"/>
      </w:r>
    </w:p>
    <w:p w14:paraId="7FE66F2C" w14:textId="17270116" w:rsidR="003546F9" w:rsidRDefault="003546F9" w:rsidP="003546F9">
      <w:pPr>
        <w:rPr>
          <w:rFonts w:ascii="Times New Roman" w:hAnsi="Times New Roman" w:cs="Times New Roman"/>
          <w:sz w:val="24"/>
        </w:rPr>
      </w:pPr>
      <w:r>
        <w:rPr>
          <w:rFonts w:ascii="Times New Roman" w:hAnsi="Times New Roman" w:cs="Times New Roman"/>
          <w:sz w:val="24"/>
        </w:rPr>
        <w:t>The invitation “Lift up your hearts,” and the people’s response of “We lift them up to the Lord,”</w:t>
      </w:r>
      <w:r w:rsidR="00200C47">
        <w:rPr>
          <w:rFonts w:ascii="Times New Roman" w:hAnsi="Times New Roman" w:cs="Times New Roman"/>
          <w:sz w:val="24"/>
        </w:rPr>
        <w:t xml:space="preserve"> comes from Lamentations 3:41.  It says, “Let us reach out our hearts toward God in heaven!”  It is a reminder for the congregation that we are to be focused only on the Lord at this time.  It also references the movements of the heart, how, as St. Augustine said, “Our hearts are restless until they rest in you.”  In this moment, the Church is leading us to be united with the pierced heart of Christ which is open in the Eucharistic sacrifice.</w:t>
      </w:r>
      <w:r w:rsidR="00200C47">
        <w:rPr>
          <w:rStyle w:val="FootnoteReference"/>
          <w:rFonts w:ascii="Times New Roman" w:hAnsi="Times New Roman" w:cs="Times New Roman"/>
          <w:sz w:val="24"/>
        </w:rPr>
        <w:footnoteReference w:id="3"/>
      </w:r>
    </w:p>
    <w:p w14:paraId="4E616CBA" w14:textId="196F6986" w:rsidR="00200C47" w:rsidRDefault="00200C47" w:rsidP="003546F9">
      <w:pPr>
        <w:rPr>
          <w:rFonts w:ascii="Times New Roman" w:hAnsi="Times New Roman" w:cs="Times New Roman"/>
          <w:sz w:val="24"/>
        </w:rPr>
      </w:pPr>
      <w:r>
        <w:rPr>
          <w:rFonts w:ascii="Times New Roman" w:hAnsi="Times New Roman" w:cs="Times New Roman"/>
          <w:sz w:val="24"/>
        </w:rPr>
        <w:t xml:space="preserve">The third verse and response </w:t>
      </w:r>
      <w:r w:rsidR="00462B53">
        <w:rPr>
          <w:rFonts w:ascii="Times New Roman" w:hAnsi="Times New Roman" w:cs="Times New Roman"/>
          <w:sz w:val="24"/>
        </w:rPr>
        <w:t>continue.</w:t>
      </w:r>
      <w:r>
        <w:rPr>
          <w:rFonts w:ascii="Times New Roman" w:hAnsi="Times New Roman" w:cs="Times New Roman"/>
          <w:sz w:val="24"/>
        </w:rPr>
        <w:t xml:space="preserve"> “Let us give thanks to the Lord our God,” and the people respond, “It is right and just.”  The Greek word for thanksgiving is </w:t>
      </w:r>
      <w:proofErr w:type="spellStart"/>
      <w:r>
        <w:rPr>
          <w:rFonts w:ascii="Times New Roman" w:hAnsi="Times New Roman" w:cs="Times New Roman"/>
          <w:i/>
          <w:sz w:val="24"/>
        </w:rPr>
        <w:t>eucharistia</w:t>
      </w:r>
      <w:proofErr w:type="spellEnd"/>
      <w:r>
        <w:rPr>
          <w:rFonts w:ascii="Times New Roman" w:hAnsi="Times New Roman" w:cs="Times New Roman"/>
          <w:sz w:val="24"/>
        </w:rPr>
        <w:t>, and this invitation goes to the heart of what the Eucharistic celebration is all about.  The invitation to give thanks comes from early Christian prayer and may have its origins in Jewish prayer.  The response comes from the agreement of civic assemblies in ancient Greece.</w:t>
      </w:r>
      <w:r>
        <w:rPr>
          <w:rStyle w:val="FootnoteReference"/>
          <w:rFonts w:ascii="Times New Roman" w:hAnsi="Times New Roman" w:cs="Times New Roman"/>
          <w:sz w:val="24"/>
        </w:rPr>
        <w:footnoteReference w:id="4"/>
      </w:r>
    </w:p>
    <w:p w14:paraId="1E679EFC" w14:textId="1F01C32A" w:rsidR="00200C47" w:rsidRDefault="00FE42C5" w:rsidP="003546F9">
      <w:pPr>
        <w:rPr>
          <w:rFonts w:ascii="Times New Roman" w:hAnsi="Times New Roman" w:cs="Times New Roman"/>
          <w:sz w:val="24"/>
        </w:rPr>
      </w:pPr>
      <w:r>
        <w:rPr>
          <w:rFonts w:ascii="Times New Roman" w:hAnsi="Times New Roman" w:cs="Times New Roman"/>
          <w:sz w:val="24"/>
        </w:rPr>
        <w:t>The text of the preface continues to thank God, particularly the Father</w:t>
      </w:r>
      <w:r w:rsidR="00462B53">
        <w:rPr>
          <w:rFonts w:ascii="Times New Roman" w:hAnsi="Times New Roman" w:cs="Times New Roman"/>
          <w:sz w:val="24"/>
        </w:rPr>
        <w:t>, for the salvation offered to us.  This prayer also resembles a Jewish prayer before meals.  It is the longer prayer which his said by the father at the end of the meal over a cup of water and wine that has been m</w:t>
      </w:r>
      <w:bookmarkStart w:id="0" w:name="_GoBack"/>
      <w:bookmarkEnd w:id="0"/>
      <w:r w:rsidR="00462B53">
        <w:rPr>
          <w:rFonts w:ascii="Times New Roman" w:hAnsi="Times New Roman" w:cs="Times New Roman"/>
          <w:sz w:val="24"/>
        </w:rPr>
        <w:t xml:space="preserve">ixed.  It is first a blessing for the gifts of creation, a thanksgiving for the gift of revelation, the covenant, and God’s saving works. And third a petition for the fulfillment of God’s plan.  The texts of the preface allow us to thank God in a way that is </w:t>
      </w:r>
      <w:proofErr w:type="gramStart"/>
      <w:r w:rsidR="00462B53">
        <w:rPr>
          <w:rFonts w:ascii="Times New Roman" w:hAnsi="Times New Roman" w:cs="Times New Roman"/>
          <w:sz w:val="24"/>
        </w:rPr>
        <w:t>similar to</w:t>
      </w:r>
      <w:proofErr w:type="gramEnd"/>
      <w:r w:rsidR="00462B53">
        <w:rPr>
          <w:rFonts w:ascii="Times New Roman" w:hAnsi="Times New Roman" w:cs="Times New Roman"/>
          <w:sz w:val="24"/>
        </w:rPr>
        <w:t xml:space="preserve"> the Jewish tradition, but now the Church has made her own.</w:t>
      </w:r>
      <w:r w:rsidR="00462B53">
        <w:rPr>
          <w:rStyle w:val="FootnoteReference"/>
          <w:rFonts w:ascii="Times New Roman" w:hAnsi="Times New Roman" w:cs="Times New Roman"/>
          <w:sz w:val="24"/>
        </w:rPr>
        <w:footnoteReference w:id="5"/>
      </w:r>
    </w:p>
    <w:p w14:paraId="55382607" w14:textId="46D927AB" w:rsidR="00462B53" w:rsidRPr="00200C47" w:rsidRDefault="00462B53" w:rsidP="003546F9">
      <w:pPr>
        <w:rPr>
          <w:rFonts w:ascii="Times New Roman" w:hAnsi="Times New Roman" w:cs="Times New Roman"/>
          <w:sz w:val="24"/>
        </w:rPr>
      </w:pPr>
      <w:r>
        <w:rPr>
          <w:rFonts w:ascii="Times New Roman" w:hAnsi="Times New Roman" w:cs="Times New Roman"/>
          <w:sz w:val="24"/>
        </w:rPr>
        <w:t xml:space="preserve">Finally, the preface concludes with the </w:t>
      </w:r>
      <w:proofErr w:type="spellStart"/>
      <w:r>
        <w:rPr>
          <w:rFonts w:ascii="Times New Roman" w:hAnsi="Times New Roman" w:cs="Times New Roman"/>
          <w:sz w:val="24"/>
        </w:rPr>
        <w:t>Santus</w:t>
      </w:r>
      <w:proofErr w:type="spellEnd"/>
      <w:r>
        <w:rPr>
          <w:rFonts w:ascii="Times New Roman" w:hAnsi="Times New Roman" w:cs="Times New Roman"/>
          <w:sz w:val="24"/>
        </w:rPr>
        <w:t>, which is Latin for “Holy.”  This is the oldest of congregational hymns and is found in the book of Revelation 4:8. We see similar words from the crowds when Christ entered Jerusalem on Palm Sunday in Matthew 21:9.  When acquiring heavenly language through the liturgy, we are acclimating ourselves to heaven’s culture and its own life.  Its words made us capable of living within the walls of heaven and joining in the eternal praise.</w:t>
      </w:r>
      <w:r>
        <w:rPr>
          <w:rStyle w:val="FootnoteReference"/>
          <w:rFonts w:ascii="Times New Roman" w:hAnsi="Times New Roman" w:cs="Times New Roman"/>
          <w:sz w:val="24"/>
        </w:rPr>
        <w:footnoteReference w:id="6"/>
      </w:r>
    </w:p>
    <w:sectPr w:rsidR="00462B53" w:rsidRPr="00200C47" w:rsidSect="00462B53">
      <w:pgSz w:w="12240" w:h="15840"/>
      <w:pgMar w:top="864" w:right="864"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59D0D" w14:textId="77777777" w:rsidR="00DC34E6" w:rsidRDefault="00DC34E6" w:rsidP="00200C47">
      <w:pPr>
        <w:spacing w:after="0" w:line="240" w:lineRule="auto"/>
      </w:pPr>
      <w:r>
        <w:separator/>
      </w:r>
    </w:p>
  </w:endnote>
  <w:endnote w:type="continuationSeparator" w:id="0">
    <w:p w14:paraId="1BF0941F" w14:textId="77777777" w:rsidR="00DC34E6" w:rsidRDefault="00DC34E6" w:rsidP="00200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74856" w14:textId="77777777" w:rsidR="00DC34E6" w:rsidRDefault="00DC34E6" w:rsidP="00200C47">
      <w:pPr>
        <w:spacing w:after="0" w:line="240" w:lineRule="auto"/>
      </w:pPr>
      <w:r>
        <w:separator/>
      </w:r>
    </w:p>
  </w:footnote>
  <w:footnote w:type="continuationSeparator" w:id="0">
    <w:p w14:paraId="72D0FCBB" w14:textId="77777777" w:rsidR="00DC34E6" w:rsidRDefault="00DC34E6" w:rsidP="00200C47">
      <w:pPr>
        <w:spacing w:after="0" w:line="240" w:lineRule="auto"/>
      </w:pPr>
      <w:r>
        <w:continuationSeparator/>
      </w:r>
    </w:p>
  </w:footnote>
  <w:footnote w:id="1">
    <w:p w14:paraId="3D72160F" w14:textId="72AF0943" w:rsidR="00200C47" w:rsidRDefault="00200C47">
      <w:pPr>
        <w:pStyle w:val="FootnoteText"/>
      </w:pPr>
      <w:r>
        <w:rPr>
          <w:rStyle w:val="FootnoteReference"/>
        </w:rPr>
        <w:footnoteRef/>
      </w:r>
      <w:r>
        <w:t xml:space="preserve"> Encountering Christ in the words of the Mass, Douglas </w:t>
      </w:r>
      <w:proofErr w:type="spellStart"/>
      <w:r>
        <w:t>Martis</w:t>
      </w:r>
      <w:proofErr w:type="spellEnd"/>
      <w:r>
        <w:t xml:space="preserve"> and Christopher Carstens, 170.</w:t>
      </w:r>
    </w:p>
  </w:footnote>
  <w:footnote w:id="2">
    <w:p w14:paraId="5A6E34E6" w14:textId="398494F8" w:rsidR="00200C47" w:rsidRDefault="00200C47">
      <w:pPr>
        <w:pStyle w:val="FootnoteText"/>
      </w:pPr>
      <w:r>
        <w:rPr>
          <w:rStyle w:val="FootnoteReference"/>
        </w:rPr>
        <w:footnoteRef/>
      </w:r>
      <w:r>
        <w:t xml:space="preserve"> Ibid, 174.</w:t>
      </w:r>
    </w:p>
  </w:footnote>
  <w:footnote w:id="3">
    <w:p w14:paraId="5E6F15E7" w14:textId="37CEE4A9" w:rsidR="00200C47" w:rsidRDefault="00200C47">
      <w:pPr>
        <w:pStyle w:val="FootnoteText"/>
      </w:pPr>
      <w:r>
        <w:rPr>
          <w:rStyle w:val="FootnoteReference"/>
        </w:rPr>
        <w:footnoteRef/>
      </w:r>
      <w:r>
        <w:t xml:space="preserve"> Ibid, 174-175.</w:t>
      </w:r>
    </w:p>
  </w:footnote>
  <w:footnote w:id="4">
    <w:p w14:paraId="0DAAA5C5" w14:textId="4029CAEE" w:rsidR="00200C47" w:rsidRDefault="00200C47">
      <w:pPr>
        <w:pStyle w:val="FootnoteText"/>
      </w:pPr>
      <w:r>
        <w:rPr>
          <w:rStyle w:val="FootnoteReference"/>
        </w:rPr>
        <w:footnoteRef/>
      </w:r>
      <w:r>
        <w:t xml:space="preserve"> Ibid, 175.</w:t>
      </w:r>
    </w:p>
  </w:footnote>
  <w:footnote w:id="5">
    <w:p w14:paraId="21A8F727" w14:textId="6758704D" w:rsidR="00462B53" w:rsidRDefault="00462B53">
      <w:pPr>
        <w:pStyle w:val="FootnoteText"/>
      </w:pPr>
      <w:r>
        <w:rPr>
          <w:rStyle w:val="FootnoteReference"/>
        </w:rPr>
        <w:footnoteRef/>
      </w:r>
      <w:r>
        <w:t xml:space="preserve"> Ibid, 176-177.</w:t>
      </w:r>
    </w:p>
  </w:footnote>
  <w:footnote w:id="6">
    <w:p w14:paraId="13D3A1F7" w14:textId="03890B05" w:rsidR="00462B53" w:rsidRDefault="00462B53">
      <w:pPr>
        <w:pStyle w:val="FootnoteText"/>
      </w:pPr>
      <w:r>
        <w:rPr>
          <w:rStyle w:val="FootnoteReference"/>
        </w:rPr>
        <w:footnoteRef/>
      </w:r>
      <w:r>
        <w:t xml:space="preserve"> Ibid, 177-178.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F9"/>
    <w:rsid w:val="000C77CA"/>
    <w:rsid w:val="001C76B0"/>
    <w:rsid w:val="00200C47"/>
    <w:rsid w:val="003546F9"/>
    <w:rsid w:val="00462B53"/>
    <w:rsid w:val="007C50C9"/>
    <w:rsid w:val="00DC34E6"/>
    <w:rsid w:val="00F06B26"/>
    <w:rsid w:val="00F47357"/>
    <w:rsid w:val="00FE4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A83A"/>
  <w15:chartTrackingRefBased/>
  <w15:docId w15:val="{0BE19547-79DD-40D5-9BE5-100DB78B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0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0C47"/>
    <w:rPr>
      <w:sz w:val="20"/>
      <w:szCs w:val="20"/>
    </w:rPr>
  </w:style>
  <w:style w:type="character" w:styleId="FootnoteReference">
    <w:name w:val="footnote reference"/>
    <w:basedOn w:val="DefaultParagraphFont"/>
    <w:uiPriority w:val="99"/>
    <w:semiHidden/>
    <w:unhideWhenUsed/>
    <w:rsid w:val="00200C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2C2BD-D425-4213-AE30-19A3B4B79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3</cp:revision>
  <dcterms:created xsi:type="dcterms:W3CDTF">2018-06-18T19:45:00Z</dcterms:created>
  <dcterms:modified xsi:type="dcterms:W3CDTF">2018-06-18T21:06:00Z</dcterms:modified>
</cp:coreProperties>
</file>